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36"/>
          <w:szCs w:val="36"/>
          <w:rtl w:val="0"/>
        </w:rPr>
        <w:t xml:space="preserve">Leadership</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Leadership can come in many different forms. It can be a leader of a group (like a coach!) who help reach a common goal (swimming fast!). There is no one way to be a good leader. There are many different leadership styles and ways that someone can be a leader.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rtl w:val="0"/>
        </w:rPr>
        <w:t xml:space="preserve">Activity: </w:t>
      </w:r>
      <w:r w:rsidDel="00000000" w:rsidR="00000000" w:rsidRPr="00000000">
        <w:rPr>
          <w:highlight w:val="white"/>
          <w:rtl w:val="0"/>
        </w:rPr>
        <w:t xml:space="preserve">“Lead the Blindfolded” –  Divide kids into two groups and provide them enough blind folds. Place the teams at opposite sides of the space and instruct everyone except one member of each team to put on a blindfold. The one member, who is not sporting a blindfold should lead his team across the field by providing clear commands. Make sure that each member in the team is getting a chance to lead the team in regular intervals. The team which successfully leads their members across their finish line wins.</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What is leadership?</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What qualities make someone a good leader?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What is self-leadership?</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How can I take leadership for my swimming?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